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E934" w14:textId="77777777" w:rsidR="008B4CBC" w:rsidRDefault="008B4CBC" w:rsidP="008B4CBC">
      <w:pPr>
        <w:pStyle w:val="F2-zkladn"/>
        <w:spacing w:line="276" w:lineRule="auto"/>
        <w:rPr>
          <w:b/>
          <w:sz w:val="28"/>
          <w:szCs w:val="28"/>
        </w:rPr>
      </w:pPr>
      <w:r>
        <w:rPr>
          <w:b/>
          <w:sz w:val="28"/>
          <w:szCs w:val="28"/>
        </w:rPr>
        <w:t>TISKOVÁ ZPRÁVA</w:t>
      </w:r>
    </w:p>
    <w:p w14:paraId="6A51F8D5" w14:textId="791CCB7B" w:rsidR="008B4CBC" w:rsidRPr="00AC3268" w:rsidRDefault="008B4CBC" w:rsidP="00AC3268">
      <w:pPr>
        <w:pStyle w:val="F2-zkladn"/>
        <w:spacing w:line="276" w:lineRule="auto"/>
        <w:jc w:val="right"/>
        <w:rPr>
          <w:b/>
          <w:sz w:val="28"/>
          <w:szCs w:val="28"/>
        </w:rPr>
      </w:pPr>
      <w:r w:rsidRPr="00455A3C">
        <w:tab/>
      </w:r>
      <w:r w:rsidRPr="00893890">
        <w:t>Praha,</w:t>
      </w:r>
      <w:r>
        <w:t xml:space="preserve"> </w:t>
      </w:r>
      <w:r w:rsidR="00F40552">
        <w:t>30</w:t>
      </w:r>
      <w:r>
        <w:t xml:space="preserve">. </w:t>
      </w:r>
      <w:r w:rsidR="00F377EC">
        <w:t xml:space="preserve">dubna </w:t>
      </w:r>
      <w:r w:rsidRPr="00893890">
        <w:t>202</w:t>
      </w:r>
      <w:r>
        <w:t>6</w:t>
      </w:r>
    </w:p>
    <w:p w14:paraId="3919CE8C" w14:textId="5E2896A6" w:rsidR="005B2594" w:rsidRPr="00F377EC" w:rsidRDefault="00F377EC" w:rsidP="00F377EC">
      <w:pPr>
        <w:spacing w:line="360" w:lineRule="auto"/>
        <w:rPr>
          <w:b/>
          <w:bCs/>
          <w:kern w:val="28"/>
          <w:sz w:val="28"/>
          <w:szCs w:val="28"/>
        </w:rPr>
      </w:pPr>
      <w:r w:rsidRPr="00F377EC">
        <w:rPr>
          <w:b/>
          <w:bCs/>
          <w:kern w:val="28"/>
          <w:sz w:val="28"/>
          <w:szCs w:val="28"/>
        </w:rPr>
        <w:t>Asi</w:t>
      </w:r>
      <w:r>
        <w:rPr>
          <w:b/>
          <w:bCs/>
          <w:kern w:val="28"/>
          <w:sz w:val="28"/>
          <w:szCs w:val="28"/>
        </w:rPr>
        <w:t>e</w:t>
      </w:r>
      <w:r w:rsidRPr="00F377EC">
        <w:rPr>
          <w:b/>
          <w:bCs/>
          <w:kern w:val="28"/>
          <w:sz w:val="28"/>
          <w:szCs w:val="28"/>
        </w:rPr>
        <w:t>: Hledání investičních příležitostí</w:t>
      </w:r>
      <w:r w:rsidR="00024E72">
        <w:rPr>
          <w:b/>
          <w:bCs/>
          <w:kern w:val="28"/>
          <w:sz w:val="28"/>
          <w:szCs w:val="28"/>
        </w:rPr>
        <w:t xml:space="preserve"> skrze</w:t>
      </w:r>
      <w:r w:rsidRPr="00F377EC">
        <w:rPr>
          <w:b/>
          <w:bCs/>
          <w:kern w:val="28"/>
          <w:sz w:val="28"/>
          <w:szCs w:val="28"/>
        </w:rPr>
        <w:t xml:space="preserve"> konzistentní investiční disciplín</w:t>
      </w:r>
      <w:r w:rsidR="00024E72">
        <w:rPr>
          <w:b/>
          <w:bCs/>
          <w:kern w:val="28"/>
          <w:sz w:val="28"/>
          <w:szCs w:val="28"/>
        </w:rPr>
        <w:t>u</w:t>
      </w:r>
    </w:p>
    <w:p w14:paraId="7017B87B" w14:textId="19B5B1C2" w:rsidR="00F377EC" w:rsidRPr="00F377EC" w:rsidRDefault="00F377EC" w:rsidP="00F377EC">
      <w:r w:rsidRPr="00F377EC">
        <w:t>Na pozadí přetrvávajícího geopolitického napětí, zvýšených cen energií a měnícího se trhu</w:t>
      </w:r>
      <w:r w:rsidR="00024E72">
        <w:t xml:space="preserve"> v čele s</w:t>
      </w:r>
      <w:r w:rsidRPr="00F377EC">
        <w:t xml:space="preserve"> Asi</w:t>
      </w:r>
      <w:r w:rsidR="00024E72">
        <w:t>í</w:t>
      </w:r>
      <w:r w:rsidRPr="00F377EC">
        <w:t xml:space="preserve"> nadále nabízí širokou škálu investičních příležitostí, podpořených technologickým prvenstvím, inovacemi a příznivými demografickými trendy. V tomto komentáři ukazuje Fidelity</w:t>
      </w:r>
      <w:r w:rsidR="00024E72">
        <w:t xml:space="preserve"> International</w:t>
      </w:r>
      <w:r w:rsidRPr="00F377EC">
        <w:t xml:space="preserve"> význam disciplinovaného investičního přístupu založeného na fundamentální analýze a přibližuje, kde se podle společnosti v regionu aktuálně nachází nejzajímavější příležitosti.</w:t>
      </w:r>
    </w:p>
    <w:p w14:paraId="590D3EA5" w14:textId="77777777" w:rsidR="00F377EC" w:rsidRPr="00F377EC" w:rsidRDefault="00F377EC" w:rsidP="00F377EC">
      <w:pPr>
        <w:rPr>
          <w:b/>
          <w:bCs/>
        </w:rPr>
      </w:pPr>
      <w:r w:rsidRPr="00F377EC">
        <w:rPr>
          <w:b/>
          <w:bCs/>
        </w:rPr>
        <w:t>Klíčové body</w:t>
      </w:r>
    </w:p>
    <w:p w14:paraId="6C29126F" w14:textId="77777777" w:rsidR="00F377EC" w:rsidRPr="00F377EC" w:rsidRDefault="00F377EC" w:rsidP="00F377EC">
      <w:pPr>
        <w:numPr>
          <w:ilvl w:val="0"/>
          <w:numId w:val="53"/>
        </w:numPr>
      </w:pPr>
      <w:r w:rsidRPr="00F377EC">
        <w:t xml:space="preserve">Konzistentní bottom-up investiční přístup může investorům pomoci projít obdobími volatility díky důkladné fundamentální analýze a výběru kvalitních společností. </w:t>
      </w:r>
    </w:p>
    <w:p w14:paraId="7EB52C00" w14:textId="77777777" w:rsidR="00F377EC" w:rsidRPr="00F377EC" w:rsidRDefault="00F377EC" w:rsidP="00F377EC">
      <w:pPr>
        <w:numPr>
          <w:ilvl w:val="0"/>
          <w:numId w:val="53"/>
        </w:numPr>
      </w:pPr>
      <w:r w:rsidRPr="00F377EC">
        <w:t xml:space="preserve">Nedávná příznivá výkonnost byla podpořena přetrvávajícím přesvědčení o technologických lídrech, kteří jak pohánějí, tak těží z inflexního bodu poptávky související s umělou inteligencí, a zároveň disciplinovaným vyhýbáním se strukturálně oslabeným segmentům trhu. </w:t>
      </w:r>
    </w:p>
    <w:p w14:paraId="0765E9A0" w14:textId="77777777" w:rsidR="00F377EC" w:rsidRPr="00F377EC" w:rsidRDefault="00F377EC" w:rsidP="00F377EC">
      <w:pPr>
        <w:numPr>
          <w:ilvl w:val="0"/>
          <w:numId w:val="53"/>
        </w:numPr>
      </w:pPr>
      <w:r w:rsidRPr="00F377EC">
        <w:t xml:space="preserve">Portfolio nadále preferuje vysoce kvalitní firmy, které mohou těžit z dlouhodobých strukturálních růstových trendů napříč širokým asijským investičním univerzem. </w:t>
      </w:r>
    </w:p>
    <w:p w14:paraId="6BC048B5" w14:textId="77777777" w:rsidR="00F377EC" w:rsidRPr="00F377EC" w:rsidRDefault="00F377EC" w:rsidP="00F377EC">
      <w:pPr>
        <w:rPr>
          <w:b/>
          <w:bCs/>
        </w:rPr>
      </w:pPr>
      <w:r w:rsidRPr="00F377EC">
        <w:rPr>
          <w:b/>
          <w:bCs/>
        </w:rPr>
        <w:t>Investování do strukturálních růstových příležitostí navzdory pokračující volatilitě</w:t>
      </w:r>
    </w:p>
    <w:p w14:paraId="4AB240B0" w14:textId="77777777" w:rsidR="00F377EC" w:rsidRPr="00F377EC" w:rsidRDefault="00F377EC" w:rsidP="00F377EC">
      <w:r w:rsidRPr="00F377EC">
        <w:t xml:space="preserve">Navzdory turbulentnímu tržnímu prostředí si fond FF Asian Special Situations zachovává své zaměření na atraktivně oceněné společnosti se silnými obchodními modely a kvalitními manažerskými týmy. Fond za dobu 12 měsíců do 31. března 2026 dosáhl silné relativní výkonnosti, podpořenou dlouhodobě drženými pozicemi zejména v technologickém sektoru a zároveň pečlivě řízením rizik v problematičtějších částech trhu. Oficiální data Fidelity potvrzují, že fond za toto období vzrostl o 34,2 %, zatímco referenční index Asia ex-Japan přidal 26,4 %. </w:t>
      </w:r>
    </w:p>
    <w:p w14:paraId="3368805F" w14:textId="77777777" w:rsidR="00F377EC" w:rsidRPr="00F377EC" w:rsidRDefault="00F377EC" w:rsidP="00F377EC">
      <w:pPr>
        <w:rPr>
          <w:b/>
          <w:bCs/>
        </w:rPr>
      </w:pPr>
      <w:r w:rsidRPr="00F377EC">
        <w:rPr>
          <w:b/>
          <w:bCs/>
        </w:rPr>
        <w:t>Konzistentní bottom-up investiční filozofie</w:t>
      </w:r>
    </w:p>
    <w:p w14:paraId="4B118D95" w14:textId="77777777" w:rsidR="00F377EC" w:rsidRPr="00F377EC" w:rsidRDefault="00F377EC" w:rsidP="00F377EC">
      <w:r w:rsidRPr="00F377EC">
        <w:t>Jádrem strategie fondu je konzistentní investiční proces odspoda nahoru, vedený fundamentální analýzou jednotlivých společností a podpořený rozsáhlým lokálním výzkumem přímo v regionu. Investiční tým se zaměřuje na identifikaci podniků se silnou pozicí vůči konkurenci, stabilním ziskovým profilem a kvalitním managementem, přičemž zároveň zachovává důslednou oceňovací disciplínu. Tato filozofie zůstala nezměněna i během zvýšené tržní volatility posledních let a byla klíčová pro schopnost fondu orientovat se v obdobích tržní nejistoty.</w:t>
      </w:r>
    </w:p>
    <w:p w14:paraId="7B717B7F" w14:textId="77777777" w:rsidR="00F377EC" w:rsidRPr="00F377EC" w:rsidRDefault="00F377EC" w:rsidP="00F377EC">
      <w:r w:rsidRPr="00F377EC">
        <w:t xml:space="preserve">Fond využívá tzv. mozaikový přístup k investování – kombinuje poznatky z jednání s managementem firem, sektorových analýz a výzkumu dodavatelských řetězců, takže vytváří portfolio vysoce přesvědčivých investičních myšlenek. Cesty za výzkumem a přímý kontakt s vedením společností </w:t>
      </w:r>
      <w:r w:rsidRPr="00F377EC">
        <w:lastRenderedPageBreak/>
        <w:t>zůstávají důležitým zdrojem informací a nových příležitostí, protože pomáhají lépe posoudit obchodní modely, konkurenční výhody i dlouhodobé strategické směřování kotovaných firem v regionu.</w:t>
      </w:r>
    </w:p>
    <w:p w14:paraId="4B9BA654" w14:textId="77777777" w:rsidR="00F377EC" w:rsidRPr="00F377EC" w:rsidRDefault="00F377EC" w:rsidP="00F377EC">
      <w:pPr>
        <w:rPr>
          <w:b/>
          <w:bCs/>
        </w:rPr>
      </w:pPr>
      <w:r w:rsidRPr="00F377EC">
        <w:rPr>
          <w:b/>
          <w:bCs/>
        </w:rPr>
        <w:t>Technologické prvenství jako motor výkonnosti</w:t>
      </w:r>
    </w:p>
    <w:p w14:paraId="2D48D3A3" w14:textId="77777777" w:rsidR="00F377EC" w:rsidRPr="00F377EC" w:rsidRDefault="00F377EC" w:rsidP="00F377EC">
      <w:r w:rsidRPr="00F377EC">
        <w:t>Technologický sektor byl v uplynulém roce klíčovým motorem výkonnosti, což odráží dlouhodobé přesvědčení fondu o významu průmyslových lídrů, což podporuje detailní analýza specifických firemních faktorů a pochopením přístupu managementu. Díky tomu mohl fond využít strukturální růstové příležitosti vytvářené umělou inteligencí, expanzí datových center a vysokovýkonných výpočetních systémů. Nadvážená pozice v tomto sektoru významně přispěla k výnosům, přičemž vybrané společnosti těžily ze silné viditelnosti zisků a příznivé rovnováhy nabídky a poptávky.</w:t>
      </w:r>
    </w:p>
    <w:p w14:paraId="5DEBD600" w14:textId="77777777" w:rsidR="00F377EC" w:rsidRPr="00F377EC" w:rsidRDefault="00F377EC" w:rsidP="00F377EC">
      <w:r w:rsidRPr="00F377EC">
        <w:t xml:space="preserve">V Jižní Koreji a na Tchaj-wanu vykázaly mimořádně silnou výkonnost zejména vybrané polovodičové pozice. Investice do výrobců pamětí a společností z čipového dodavatelského řetězce profitovaly z růstu cen paměťových čipů, omezené nabídky a akcelerující poptávky po high-bandwidth memory a AI infrastruktuře. Portfolio fondu ostatně potvrzuje výraznou expozici vůči těmto technologickým lídrům, mezi největšími pozicemi jsou například Samsung Electronics a Taiwan Semiconductor Manufacturing. </w:t>
      </w:r>
    </w:p>
    <w:p w14:paraId="3B7DAA46" w14:textId="77777777" w:rsidR="00F377EC" w:rsidRPr="00F377EC" w:rsidRDefault="00F377EC" w:rsidP="00F377EC">
      <w:r w:rsidRPr="00F377EC">
        <w:t>Naše analýza ukazuje, že v poptávce po pamětech skutečně dochází k inflexnímu bodu a potenciál růstu tržeb je hmatatelný. Fond zároveň navýšil expozice celým  širším technologickým hodnotovým řetězcem a identifikoval společnosti, které mohou těžit z technologických upgradů a zvýšených kapitálových výdajů spojených s adopcí AI.</w:t>
      </w:r>
    </w:p>
    <w:p w14:paraId="5EFA04F6" w14:textId="77777777" w:rsidR="00F377EC" w:rsidRPr="00F377EC" w:rsidRDefault="00F377EC" w:rsidP="00F377EC">
      <w:r w:rsidRPr="00F377EC">
        <w:t>Důležité je, že disciplinovaný výběr akcí přinášel hodnotu také skrze vyhýbání se určitým segmentům – například rozhodnutí nedržet některé části čínského trhu výrobců elektromobilů přispívalo pozitivně. To podtrhuje výhody aktivní správy a význam selektivního pozicionování namísto široké tržní expozice.</w:t>
      </w:r>
    </w:p>
    <w:p w14:paraId="389D40C9" w14:textId="77777777" w:rsidR="00F377EC" w:rsidRPr="00F377EC" w:rsidRDefault="00F377EC" w:rsidP="00F377EC">
      <w:pPr>
        <w:rPr>
          <w:b/>
          <w:bCs/>
        </w:rPr>
      </w:pPr>
      <w:r w:rsidRPr="00F377EC">
        <w:rPr>
          <w:b/>
          <w:bCs/>
        </w:rPr>
        <w:t>Navigace makroekonomickými a geopolitickými riziky</w:t>
      </w:r>
    </w:p>
    <w:p w14:paraId="03CB3CAF" w14:textId="77777777" w:rsidR="00F377EC" w:rsidRPr="00F377EC" w:rsidRDefault="00F377EC" w:rsidP="00F377EC">
      <w:r w:rsidRPr="00F377EC">
        <w:t>První čtvrtletí roku 2026 připomnělo, jakým výzvám asijské akciové trhy čelí. Geopolitický vývoj na Blízkém východě vedl k růstu cen ropy a spustil širší risk-off sentiment. Tyto faktory zatížily ekonomiky závislé na dovozu energií a přispěly k obnoveným inflačním obavám i vyšší volatilitě napříč regionem.</w:t>
      </w:r>
    </w:p>
    <w:p w14:paraId="26E3BB00" w14:textId="77777777" w:rsidR="00F377EC" w:rsidRPr="00F377EC" w:rsidRDefault="00F377EC" w:rsidP="00F377EC">
      <w:r w:rsidRPr="00F377EC">
        <w:t>V tomto prostředí bylo portfolio stavěno s důrazem na odolnost. Fond udržuje významnou expozici vůči společnostem, kde je velká vidina zisků, zejména v technologiích a komunikačních službách, zatímco zůstává opatrný vůči segmentům citlivějším na dlouhodobě vyšší ceny energií. Například expozice vůči indickým spotřebitelským titulům zbytného zboží byla snížena kvůli dražší ropě.</w:t>
      </w:r>
    </w:p>
    <w:p w14:paraId="0989B609" w14:textId="77777777" w:rsidR="00F377EC" w:rsidRPr="00F377EC" w:rsidRDefault="00F377EC" w:rsidP="00F377EC">
      <w:r w:rsidRPr="00F377EC">
        <w:t>Současně fond nadále drží vybrané kvalitní banky v Indii a Indonésii – finanční instituce s robustními rozvahami, které by měly těžit z příznivých dlouhodobých ekonomických trendů v obou zemích.</w:t>
      </w:r>
    </w:p>
    <w:p w14:paraId="0319323E" w14:textId="77777777" w:rsidR="00F377EC" w:rsidRPr="00F377EC" w:rsidRDefault="00F377EC" w:rsidP="00F377EC">
      <w:pPr>
        <w:rPr>
          <w:b/>
          <w:bCs/>
        </w:rPr>
      </w:pPr>
      <w:r w:rsidRPr="00F377EC">
        <w:rPr>
          <w:b/>
          <w:bCs/>
        </w:rPr>
        <w:t>Dlouhodobý investiční potenciál Asie</w:t>
      </w:r>
    </w:p>
    <w:p w14:paraId="78A9261F" w14:textId="77777777" w:rsidR="00F377EC" w:rsidRPr="00F377EC" w:rsidRDefault="00F377EC" w:rsidP="00F377EC">
      <w:r w:rsidRPr="00F377EC">
        <w:t>Do budoucna se očekává, že geopolitická nejistota zůstane součástí investičního prostředí. Fond proto zůstává pevně ukotven ve svých základních principech: výběr akcií odspoda nahoru, fundamentální výzkum a dlouhodobý investiční horizont.</w:t>
      </w:r>
    </w:p>
    <w:p w14:paraId="0C287CE9" w14:textId="0D22CCFC" w:rsidR="00F377EC" w:rsidRPr="00F377EC" w:rsidRDefault="00F377EC" w:rsidP="00F377EC">
      <w:r w:rsidRPr="00F377EC">
        <w:t xml:space="preserve">Strategie klade silný důraz na firmy, které mohou těžit z měnících se spotřebitelských vzorců a technologického pokroku, protože strukturální témata jako investice do AI, digitalizace a růst životní </w:t>
      </w:r>
      <w:r w:rsidRPr="00F377EC">
        <w:lastRenderedPageBreak/>
        <w:t>úrovně by měla dlouhodobě podporovat růstové vyhlídky regionu. Zaměřením na společnosti se silnými obchodními modely a kvalitním managementem se fond snaží tyto příležitosti zachytit a zároveň zvládat období tržní volatility.</w:t>
      </w:r>
    </w:p>
    <w:p w14:paraId="71340B30" w14:textId="6A711114" w:rsidR="005B2594" w:rsidRDefault="00D63627" w:rsidP="005B2594">
      <w:r>
        <w:rPr>
          <w:noProof/>
        </w:rPr>
        <w:drawing>
          <wp:anchor distT="0" distB="0" distL="114300" distR="114300" simplePos="0" relativeHeight="251658240" behindDoc="0" locked="0" layoutInCell="1" allowOverlap="1" wp14:anchorId="3CCAFC1A" wp14:editId="3D0369AF">
            <wp:simplePos x="0" y="0"/>
            <wp:positionH relativeFrom="column">
              <wp:posOffset>-8890</wp:posOffset>
            </wp:positionH>
            <wp:positionV relativeFrom="paragraph">
              <wp:posOffset>1066800</wp:posOffset>
            </wp:positionV>
            <wp:extent cx="5759450" cy="3063240"/>
            <wp:effectExtent l="0" t="0" r="0" b="3810"/>
            <wp:wrapTopAndBottom/>
            <wp:docPr id="18867722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72281" name="Obrázek 1886772281"/>
                    <pic:cNvPicPr/>
                  </pic:nvPicPr>
                  <pic:blipFill>
                    <a:blip r:embed="rId11">
                      <a:extLst>
                        <a:ext uri="{28A0092B-C50C-407E-A947-70E740481C1C}">
                          <a14:useLocalDpi xmlns:a14="http://schemas.microsoft.com/office/drawing/2010/main" val="0"/>
                        </a:ext>
                      </a:extLst>
                    </a:blip>
                    <a:stretch>
                      <a:fillRect/>
                    </a:stretch>
                  </pic:blipFill>
                  <pic:spPr>
                    <a:xfrm>
                      <a:off x="0" y="0"/>
                      <a:ext cx="5759450" cy="3063240"/>
                    </a:xfrm>
                    <a:prstGeom prst="rect">
                      <a:avLst/>
                    </a:prstGeom>
                  </pic:spPr>
                </pic:pic>
              </a:graphicData>
            </a:graphic>
          </wp:anchor>
        </w:drawing>
      </w:r>
      <w:r w:rsidR="00F377EC" w:rsidRPr="00F377EC">
        <w:t xml:space="preserve">Ve složitém a nejistém globálním prostředí tak FF Asian Special Situations Fund nadále nabízí investorům přístup k dlouhodobému růstovému potenciálu Asie, podpořený disciplinovaným investičním procesem a jasným důrazem na kvalitu a fundamenty. Stručně řečeno, ve Fidelity International věří, že Asie je i nadále místem pro dlouhodobé investování. </w:t>
      </w:r>
    </w:p>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r w:rsidRPr="003B4C8C">
        <w:t>gsm: + 420 720 406 659</w:t>
      </w:r>
    </w:p>
    <w:p w14:paraId="557AD6EE" w14:textId="77777777" w:rsidR="00362096" w:rsidRPr="003B4C8C" w:rsidRDefault="00362096" w:rsidP="00362096">
      <w:r w:rsidRPr="003B4C8C">
        <w:t>e-mail: </w:t>
      </w:r>
      <w:hyperlink r:id="rId12"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r w:rsidRPr="003B4C8C">
        <w:rPr>
          <w:b/>
          <w:bCs/>
        </w:rPr>
        <w:t>Fidelity International </w:t>
      </w:r>
      <w:r w:rsidRPr="003B4C8C">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w:t>
      </w:r>
      <w:r w:rsidRPr="003B4C8C">
        <w:lastRenderedPageBreak/>
        <w:t>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r w:rsidRPr="003B4C8C">
        <w:t>Fidelity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Všechny názory představují stanoviska společnosti Fidelity, není-li uvedeno jinak. Fidelity, Fidelity International a logo Fidelity International a symbol měny F jsou všechno ochrannými známkami společnosti FIL Limited.</w:t>
      </w:r>
    </w:p>
    <w:p w14:paraId="4126DD13" w14:textId="77777777" w:rsidR="00362096" w:rsidRPr="003B4C8C" w:rsidRDefault="00362096" w:rsidP="00362096">
      <w:r w:rsidRPr="003B4C8C">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 xml:space="preserve">Údaje nejsou auditované. Odborníci provádějící průzkum zahrnují společníky a analytiky. Doporučujeme, abyste si před uskutečněním jakéhokoli investičního rozhodnutí opatřili podrobné </w:t>
      </w:r>
      <w:r w:rsidRPr="003B4C8C">
        <w:lastRenderedPageBreak/>
        <w:t>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3" w:tgtFrame="_blank" w:history="1">
        <w:r w:rsidRPr="003B4C8C">
          <w:rPr>
            <w:rStyle w:val="Hypertextovodkaz"/>
          </w:rPr>
          <w:t>https://www.fidelityinternational.com</w:t>
        </w:r>
      </w:hyperlink>
      <w:r w:rsidRPr="003B4C8C">
        <w:t> nebo od našich distributořů a našeho evropského Centra služeb v Lucembursku, sídlící na adrese FIL (Luxembourg) S.A. 2a, rue Albert Borschette BP 2174 L-1021 Luxembourg.</w:t>
      </w:r>
    </w:p>
    <w:p w14:paraId="7893AFD1" w14:textId="77777777" w:rsidR="00362096" w:rsidRPr="003B4C8C" w:rsidRDefault="00362096" w:rsidP="00362096">
      <w:r w:rsidRPr="003B4C8C">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4"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475AFB20" w:rsidR="00D20058" w:rsidRDefault="003E0E5D" w:rsidP="003E0E5D">
      <w:pPr>
        <w:spacing w:after="160" w:line="278" w:lineRule="auto"/>
      </w:pPr>
      <w:r w:rsidRPr="003E0E5D">
        <w:rPr>
          <w:lang w:val="de-AT"/>
        </w:rPr>
        <w:t>MKAT13790</w:t>
      </w:r>
    </w:p>
    <w:sectPr w:rsidR="00D20058" w:rsidSect="00F50497">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804F" w14:textId="77777777" w:rsidR="000E1C0C" w:rsidRDefault="000E1C0C">
      <w:r>
        <w:separator/>
      </w:r>
    </w:p>
  </w:endnote>
  <w:endnote w:type="continuationSeparator" w:id="0">
    <w:p w14:paraId="7D5F331B" w14:textId="77777777" w:rsidR="000E1C0C" w:rsidRDefault="000E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4F44" w14:textId="77777777" w:rsidR="000E1C0C" w:rsidRDefault="000E1C0C">
      <w:r>
        <w:separator/>
      </w:r>
    </w:p>
  </w:footnote>
  <w:footnote w:type="continuationSeparator" w:id="0">
    <w:p w14:paraId="397148E8" w14:textId="77777777" w:rsidR="000E1C0C" w:rsidRDefault="000E1C0C">
      <w:r>
        <w:continuationSeparator/>
      </w:r>
    </w:p>
  </w:footnote>
  <w:footnote w:type="continuationNotice" w:id="1">
    <w:p w14:paraId="7D452EF6" w14:textId="77777777" w:rsidR="000E1C0C" w:rsidRDefault="000E1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1CB6543"/>
    <w:multiLevelType w:val="multilevel"/>
    <w:tmpl w:val="2784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40"/>
  </w:num>
  <w:num w:numId="3" w16cid:durableId="1213884590">
    <w:abstractNumId w:val="47"/>
  </w:num>
  <w:num w:numId="4" w16cid:durableId="249312893">
    <w:abstractNumId w:val="24"/>
  </w:num>
  <w:num w:numId="5" w16cid:durableId="315694586">
    <w:abstractNumId w:val="26"/>
  </w:num>
  <w:num w:numId="6" w16cid:durableId="108403674">
    <w:abstractNumId w:val="22"/>
  </w:num>
  <w:num w:numId="7" w16cid:durableId="604575006">
    <w:abstractNumId w:val="45"/>
  </w:num>
  <w:num w:numId="8" w16cid:durableId="2105804766">
    <w:abstractNumId w:val="30"/>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8"/>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4"/>
  </w:num>
  <w:num w:numId="27" w16cid:durableId="769544694">
    <w:abstractNumId w:val="35"/>
  </w:num>
  <w:num w:numId="28" w16cid:durableId="424962738">
    <w:abstractNumId w:val="21"/>
  </w:num>
  <w:num w:numId="29" w16cid:durableId="1088423855">
    <w:abstractNumId w:val="23"/>
  </w:num>
  <w:num w:numId="30" w16cid:durableId="838152150">
    <w:abstractNumId w:val="25"/>
  </w:num>
  <w:num w:numId="31" w16cid:durableId="771709832">
    <w:abstractNumId w:val="39"/>
  </w:num>
  <w:num w:numId="32" w16cid:durableId="1570068625">
    <w:abstractNumId w:val="48"/>
  </w:num>
  <w:num w:numId="33" w16cid:durableId="280261214">
    <w:abstractNumId w:val="34"/>
  </w:num>
  <w:num w:numId="34" w16cid:durableId="1755005586">
    <w:abstractNumId w:val="46"/>
  </w:num>
  <w:num w:numId="35" w16cid:durableId="975062918">
    <w:abstractNumId w:val="50"/>
  </w:num>
  <w:num w:numId="36" w16cid:durableId="65340861">
    <w:abstractNumId w:val="15"/>
  </w:num>
  <w:num w:numId="37" w16cid:durableId="369651298">
    <w:abstractNumId w:val="43"/>
  </w:num>
  <w:num w:numId="38" w16cid:durableId="561336543">
    <w:abstractNumId w:val="17"/>
  </w:num>
  <w:num w:numId="39" w16cid:durableId="993333316">
    <w:abstractNumId w:val="32"/>
  </w:num>
  <w:num w:numId="40" w16cid:durableId="945430004">
    <w:abstractNumId w:val="41"/>
  </w:num>
  <w:num w:numId="41" w16cid:durableId="1123378030">
    <w:abstractNumId w:val="49"/>
  </w:num>
  <w:num w:numId="42" w16cid:durableId="2118477175">
    <w:abstractNumId w:val="29"/>
  </w:num>
  <w:num w:numId="43" w16cid:durableId="1760370648">
    <w:abstractNumId w:val="42"/>
  </w:num>
  <w:num w:numId="44" w16cid:durableId="624894503">
    <w:abstractNumId w:val="19"/>
  </w:num>
  <w:num w:numId="45" w16cid:durableId="868492869">
    <w:abstractNumId w:val="51"/>
  </w:num>
  <w:num w:numId="46" w16cid:durableId="321738993">
    <w:abstractNumId w:val="27"/>
  </w:num>
  <w:num w:numId="47" w16cid:durableId="1931890237">
    <w:abstractNumId w:val="36"/>
  </w:num>
  <w:num w:numId="48" w16cid:durableId="1621035614">
    <w:abstractNumId w:val="12"/>
  </w:num>
  <w:num w:numId="49" w16cid:durableId="625696803">
    <w:abstractNumId w:val="31"/>
  </w:num>
  <w:num w:numId="50" w16cid:durableId="1830244003">
    <w:abstractNumId w:val="37"/>
  </w:num>
  <w:num w:numId="51" w16cid:durableId="2144299643">
    <w:abstractNumId w:val="52"/>
  </w:num>
  <w:num w:numId="52" w16cid:durableId="406348410">
    <w:abstractNumId w:val="33"/>
  </w:num>
  <w:num w:numId="53" w16cid:durableId="76568962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4E72"/>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1C0C"/>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675C"/>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3FA2"/>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0E5D"/>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1392"/>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0374"/>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2E53"/>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594"/>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2BD"/>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4CBC"/>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0E7F"/>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268"/>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7A3"/>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3627"/>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7EC"/>
    <w:rsid w:val="00F37FA5"/>
    <w:rsid w:val="00F40144"/>
    <w:rsid w:val="00F40265"/>
    <w:rsid w:val="00F40552"/>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ttps/www.fidelityinternation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ka.krohova@crestcom.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ttps/www.fidelit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3.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10154</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11851</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3</cp:revision>
  <cp:lastPrinted>2015-11-30T16:29:00Z</cp:lastPrinted>
  <dcterms:created xsi:type="dcterms:W3CDTF">2026-04-30T13:04:00Z</dcterms:created>
  <dcterms:modified xsi:type="dcterms:W3CDTF">2026-04-30T13:06:00Z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